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EC" w:rsidRDefault="00AE02EC" w:rsidP="00AE02EC">
      <w:pPr>
        <w:pStyle w:val="Title"/>
      </w:pPr>
      <w:r w:rsidRPr="00DA0F9C">
        <w:t xml:space="preserve">DCP AQuIP </w:t>
      </w:r>
      <w:r w:rsidRPr="00E75CF8">
        <w:t>Toolkit</w:t>
      </w:r>
    </w:p>
    <w:p w:rsidR="00AE02EC" w:rsidRPr="00840D1B" w:rsidRDefault="00AE02EC" w:rsidP="00AE02EC">
      <w:pPr>
        <w:pStyle w:val="MediaType2ndLevelAccentHeading"/>
        <w:rPr>
          <w:rFonts w:ascii="Arial" w:hAnsi="Arial" w:cs="Arial"/>
          <w:color w:val="000000" w:themeColor="text1"/>
        </w:rPr>
      </w:pPr>
      <w:r w:rsidRPr="00840D1B">
        <w:rPr>
          <w:rFonts w:ascii="Arial" w:hAnsi="Arial" w:cs="Arial"/>
          <w:color w:val="000000" w:themeColor="text1"/>
          <w:sz w:val="28"/>
          <w:szCs w:val="28"/>
        </w:rPr>
        <w:t>Key Messages for Use in Toolkit Layouts</w:t>
      </w:r>
    </w:p>
    <w:p w:rsidR="00AE02EC" w:rsidRPr="00840D1B" w:rsidRDefault="00AE02EC" w:rsidP="00AE02EC">
      <w:pPr>
        <w:pStyle w:val="BasicParagraph"/>
        <w:rPr>
          <w:rFonts w:ascii="Arial" w:hAnsi="Arial" w:cs="Arial"/>
          <w:color w:val="000000" w:themeColor="text1"/>
        </w:rPr>
      </w:pPr>
    </w:p>
    <w:p w:rsidR="00AE02EC" w:rsidRPr="00840D1B" w:rsidRDefault="00AE02EC" w:rsidP="00AE02EC">
      <w:pPr>
        <w:pStyle w:val="Heading2"/>
        <w:rPr>
          <w:color w:val="000000" w:themeColor="text1"/>
        </w:rPr>
      </w:pPr>
      <w:r w:rsidRPr="00840D1B">
        <w:rPr>
          <w:color w:val="000000" w:themeColor="text1"/>
        </w:rPr>
        <w:t>Key Message</w:t>
      </w:r>
    </w:p>
    <w:p w:rsidR="00AE02EC" w:rsidRPr="00840D1B" w:rsidRDefault="00AE02EC" w:rsidP="00AE02EC">
      <w:pPr>
        <w:pStyle w:val="Heading2"/>
        <w:rPr>
          <w:b w:val="0"/>
          <w:bCs/>
          <w:color w:val="000000" w:themeColor="text1"/>
          <w:sz w:val="20"/>
          <w:szCs w:val="20"/>
        </w:rPr>
      </w:pPr>
    </w:p>
    <w:p w:rsidR="00AE02EC" w:rsidRPr="00840D1B" w:rsidRDefault="00AE02EC" w:rsidP="00AE02EC">
      <w:pPr>
        <w:pStyle w:val="BasicParagraph"/>
        <w:rPr>
          <w:rFonts w:ascii="Arial" w:hAnsi="Arial" w:cs="Arial"/>
          <w:color w:val="000000" w:themeColor="text1"/>
        </w:rPr>
      </w:pPr>
      <w:r w:rsidRPr="00840D1B">
        <w:rPr>
          <w:rFonts w:ascii="Arial" w:hAnsi="Arial" w:cs="Arial"/>
          <w:color w:val="000000" w:themeColor="text1"/>
          <w:spacing w:val="-4"/>
        </w:rPr>
        <w:t>The key message used in clinical trial advertising includes a</w:t>
      </w:r>
      <w:r>
        <w:rPr>
          <w:rFonts w:ascii="Arial" w:hAnsi="Arial" w:cs="Arial"/>
          <w:color w:val="000000" w:themeColor="text1"/>
          <w:spacing w:val="-4"/>
        </w:rPr>
        <w:t xml:space="preserve"> </w:t>
      </w:r>
      <w:r w:rsidRPr="00840D1B">
        <w:rPr>
          <w:rFonts w:ascii="Arial" w:hAnsi="Arial" w:cs="Arial"/>
          <w:color w:val="000000" w:themeColor="text1"/>
          <w:spacing w:val="-4"/>
        </w:rPr>
        <w:t xml:space="preserve">tagline, a positioning statement, and a call to action statement. If the advertisement contains visuals, the key message should complement the visuals with correct language and vice versa. Use the provided list of taglines, positioning statements, and call to actions or develop new key messages for clinical trial advertising. </w:t>
      </w:r>
    </w:p>
    <w:p w:rsidR="00AE02EC" w:rsidRPr="00840D1B" w:rsidRDefault="00AE02EC" w:rsidP="00AE02EC">
      <w:pPr>
        <w:pStyle w:val="BasicParagraph"/>
        <w:rPr>
          <w:rFonts w:ascii="Arial" w:hAnsi="Arial" w:cs="Arial"/>
          <w:color w:val="000000" w:themeColor="text1"/>
        </w:rPr>
      </w:pPr>
    </w:p>
    <w:p w:rsidR="00AE02EC" w:rsidRPr="00840D1B" w:rsidRDefault="00AE02EC" w:rsidP="00AE02EC">
      <w:pPr>
        <w:pStyle w:val="Heading2"/>
        <w:rPr>
          <w:color w:val="000000" w:themeColor="text1"/>
        </w:rPr>
      </w:pPr>
      <w:r w:rsidRPr="00840D1B">
        <w:rPr>
          <w:color w:val="000000" w:themeColor="text1"/>
        </w:rPr>
        <w:t>Taglines</w:t>
      </w:r>
    </w:p>
    <w:p w:rsidR="00AE02EC" w:rsidRPr="00840D1B" w:rsidRDefault="00AE02EC" w:rsidP="00AE02EC">
      <w:pPr>
        <w:pStyle w:val="Heading2"/>
        <w:rPr>
          <w:color w:val="000000" w:themeColor="text1"/>
        </w:rPr>
      </w:pPr>
    </w:p>
    <w:p w:rsidR="00AE02EC" w:rsidRPr="00840D1B" w:rsidRDefault="00AE02EC" w:rsidP="00AE02EC">
      <w:pPr>
        <w:pStyle w:val="BasicParagraph"/>
        <w:rPr>
          <w:rFonts w:ascii="Arial" w:hAnsi="Arial" w:cs="Arial"/>
          <w:color w:val="000000" w:themeColor="text1"/>
        </w:rPr>
      </w:pPr>
      <w:r w:rsidRPr="00840D1B">
        <w:rPr>
          <w:rFonts w:ascii="Arial" w:hAnsi="Arial" w:cs="Arial"/>
          <w:color w:val="000000" w:themeColor="text1"/>
        </w:rPr>
        <w:t xml:space="preserve">Taglines capture the audience’s interest and are the first point of engagement to attract attention. Choose appropriate positioning statements and call to action phrases based on which fit best. </w:t>
      </w:r>
    </w:p>
    <w:p w:rsidR="00AE02EC" w:rsidRPr="00840D1B" w:rsidRDefault="00AE02EC" w:rsidP="00AE02EC">
      <w:pPr>
        <w:pStyle w:val="BasicParagraph"/>
        <w:rPr>
          <w:rFonts w:ascii="Arial" w:hAnsi="Arial" w:cs="Arial"/>
          <w:color w:val="000000" w:themeColor="text1"/>
        </w:rPr>
      </w:pPr>
    </w:p>
    <w:p w:rsidR="00AE02EC" w:rsidRPr="00840D1B" w:rsidRDefault="00AE02EC" w:rsidP="00AE02EC">
      <w:pPr>
        <w:pStyle w:val="BasicParagraph"/>
        <w:rPr>
          <w:rFonts w:ascii="Arial" w:hAnsi="Arial" w:cs="Arial"/>
          <w:color w:val="000000" w:themeColor="text1"/>
        </w:rPr>
      </w:pPr>
      <w:r w:rsidRPr="00840D1B">
        <w:rPr>
          <w:rFonts w:ascii="Arial" w:hAnsi="Arial" w:cs="Arial"/>
          <w:color w:val="000000" w:themeColor="text1"/>
        </w:rPr>
        <w:t xml:space="preserve">If the clinical site chooses to develop a tagline not included in this list, we suggest generating taglines around a central approach or theme which will connect with the audience. For example, if the theme of the advertisement is emotion, the tagline should capture the audience’s attention with a phrase designed to cause an emotional reaction. Sample themes include: emotions, altruism, community, and window of opportunity. </w:t>
      </w:r>
      <w:r w:rsidRPr="00840D1B">
        <w:rPr>
          <w:rFonts w:ascii="Arial" w:hAnsi="Arial" w:cs="Arial"/>
          <w:color w:val="000000" w:themeColor="text1"/>
        </w:rPr>
        <w:br/>
      </w:r>
    </w:p>
    <w:p w:rsidR="00AE02EC" w:rsidRPr="00840D1B" w:rsidRDefault="00AE02EC" w:rsidP="00AE02EC">
      <w:pPr>
        <w:pStyle w:val="BasicParagraph"/>
        <w:ind w:left="360"/>
        <w:rPr>
          <w:rFonts w:ascii="Arial" w:hAnsi="Arial" w:cs="Arial"/>
          <w:b/>
          <w:color w:val="000000" w:themeColor="text1"/>
        </w:rPr>
      </w:pPr>
      <w:r w:rsidRPr="00840D1B">
        <w:rPr>
          <w:rStyle w:val="BulletHeading"/>
          <w:rFonts w:ascii="Arial" w:hAnsi="Arial" w:cs="Arial"/>
          <w:b/>
          <w:color w:val="000000" w:themeColor="text1"/>
        </w:rPr>
        <w:t>Theme: Emotions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Is cancer targeting you?</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If we help all, we help each other</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Put your emotion into action</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How does cancer affect you?</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Cancer prevention, what does it mean?</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Do it for your grandchildren</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Do it for your children</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Cancer. How can you help?</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Research is the start of a healthier life</w:t>
      </w:r>
    </w:p>
    <w:p w:rsidR="00AE02EC" w:rsidRPr="00840D1B" w:rsidRDefault="00AE02EC" w:rsidP="00AE02EC">
      <w:pPr>
        <w:pStyle w:val="BasicParagraph"/>
        <w:ind w:left="360"/>
        <w:rPr>
          <w:rFonts w:ascii="Arial" w:hAnsi="Arial" w:cs="Arial"/>
          <w:color w:val="000000" w:themeColor="text1"/>
        </w:rPr>
      </w:pPr>
    </w:p>
    <w:p w:rsidR="00AE02EC" w:rsidRPr="00840D1B" w:rsidRDefault="00AE02EC" w:rsidP="00AE02EC">
      <w:pPr>
        <w:pStyle w:val="BasicParagraph"/>
        <w:ind w:left="360"/>
        <w:rPr>
          <w:rFonts w:ascii="Arial" w:hAnsi="Arial" w:cs="Arial"/>
          <w:b/>
          <w:color w:val="000000" w:themeColor="text1"/>
        </w:rPr>
      </w:pPr>
      <w:r w:rsidRPr="00840D1B">
        <w:rPr>
          <w:rStyle w:val="BulletHeading"/>
          <w:rFonts w:ascii="Arial" w:hAnsi="Arial" w:cs="Arial"/>
          <w:b/>
          <w:color w:val="000000" w:themeColor="text1"/>
        </w:rPr>
        <w:t xml:space="preserve">Theme: Altruism </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Prevention saves lives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You could be doing something</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Help your community</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Benefit your kids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Help future generations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Real people exploring real possibilities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The journey to wellness begins with you</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Pave the road to wellness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Express your love of life for future generations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Your good health could pay off, learn how</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Sick of cancer, we need you</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lastRenderedPageBreak/>
        <w:t>Make a difference</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Join the fight</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Fight to prevent</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The more we know, the farther we’ll go</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We can’t do it alone, we need you</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Give the gift of hope</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Do you want to help? It can be easy!</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Stop cancer before it begins</w:t>
      </w:r>
    </w:p>
    <w:p w:rsidR="00AE02EC" w:rsidRPr="00840D1B" w:rsidRDefault="00AE02EC" w:rsidP="00AE02EC">
      <w:pPr>
        <w:pStyle w:val="BasicParagraph"/>
        <w:ind w:left="360"/>
        <w:rPr>
          <w:rFonts w:ascii="Arial" w:hAnsi="Arial" w:cs="Arial"/>
          <w:color w:val="000000" w:themeColor="text1"/>
        </w:rPr>
      </w:pPr>
    </w:p>
    <w:p w:rsidR="00AE02EC" w:rsidRPr="00840D1B" w:rsidRDefault="00AE02EC" w:rsidP="00AE02EC">
      <w:pPr>
        <w:pStyle w:val="BasicParagraph"/>
        <w:ind w:left="360"/>
        <w:rPr>
          <w:rFonts w:ascii="Arial" w:hAnsi="Arial" w:cs="Arial"/>
          <w:b/>
          <w:color w:val="000000" w:themeColor="text1"/>
        </w:rPr>
      </w:pPr>
      <w:r w:rsidRPr="00840D1B">
        <w:rPr>
          <w:rStyle w:val="BulletHeading"/>
          <w:rFonts w:ascii="Arial" w:hAnsi="Arial" w:cs="Arial"/>
          <w:b/>
          <w:color w:val="000000" w:themeColor="text1"/>
        </w:rPr>
        <w:t>Theme: Community</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Participate to prevent</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Cancer prevention works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Good intentions lead to cancer prevention</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United we can succeed</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Come out fighting</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The average person makes a difference</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You can be a hero</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Let’s work together</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Knock out cancer</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Knock out [Insert Organ] cancer</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Tell your friends</w:t>
      </w:r>
    </w:p>
    <w:p w:rsidR="00AE02EC" w:rsidRPr="00840D1B" w:rsidRDefault="00AE02EC" w:rsidP="00AE02EC">
      <w:pPr>
        <w:pStyle w:val="BasicParagraph"/>
        <w:ind w:left="360"/>
        <w:rPr>
          <w:rFonts w:ascii="Arial" w:hAnsi="Arial" w:cs="Arial"/>
          <w:color w:val="000000" w:themeColor="text1"/>
        </w:rPr>
      </w:pPr>
    </w:p>
    <w:p w:rsidR="00AE02EC" w:rsidRPr="00840D1B" w:rsidRDefault="00AE02EC" w:rsidP="00AE02EC">
      <w:pPr>
        <w:pStyle w:val="BasicParagraph"/>
        <w:ind w:left="360"/>
        <w:rPr>
          <w:rFonts w:ascii="Arial" w:hAnsi="Arial" w:cs="Arial"/>
          <w:b/>
          <w:color w:val="000000" w:themeColor="text1"/>
        </w:rPr>
      </w:pPr>
      <w:r w:rsidRPr="00840D1B">
        <w:rPr>
          <w:rStyle w:val="BulletHeading"/>
          <w:rFonts w:ascii="Arial" w:hAnsi="Arial" w:cs="Arial"/>
          <w:b/>
          <w:color w:val="000000" w:themeColor="text1"/>
        </w:rPr>
        <w:t>Theme: Window of Opportunity</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Life is a gift, don’t let time pass you by</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Understand cancer risk factors</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Equip yourself with cancer prevention knowledge</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Screen out cancer</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Act now</w:t>
      </w:r>
    </w:p>
    <w:p w:rsidR="00AE02EC" w:rsidRPr="00840D1B" w:rsidRDefault="00AE02EC" w:rsidP="00AE02EC">
      <w:pPr>
        <w:pStyle w:val="BulletList1"/>
        <w:numPr>
          <w:ilvl w:val="0"/>
          <w:numId w:val="25"/>
        </w:numPr>
        <w:spacing w:after="0"/>
        <w:rPr>
          <w:rFonts w:ascii="Arial" w:hAnsi="Arial" w:cs="Arial"/>
          <w:color w:val="000000" w:themeColor="text1"/>
        </w:rPr>
      </w:pPr>
      <w:r w:rsidRPr="00840D1B">
        <w:rPr>
          <w:rFonts w:ascii="Arial" w:hAnsi="Arial" w:cs="Arial"/>
          <w:color w:val="000000" w:themeColor="text1"/>
        </w:rPr>
        <w:t>Time to participate</w:t>
      </w:r>
    </w:p>
    <w:p w:rsidR="00AE02EC" w:rsidRPr="00840D1B" w:rsidRDefault="00AE02EC" w:rsidP="00AE02EC">
      <w:pPr>
        <w:pStyle w:val="BasicParagraph"/>
        <w:rPr>
          <w:rFonts w:ascii="Arial" w:hAnsi="Arial" w:cs="Arial"/>
          <w:color w:val="000000" w:themeColor="text1"/>
        </w:rPr>
      </w:pPr>
    </w:p>
    <w:p w:rsidR="00AE02EC" w:rsidRPr="00840D1B" w:rsidRDefault="00AE02EC" w:rsidP="00AE02EC">
      <w:pPr>
        <w:pStyle w:val="Heading2"/>
        <w:rPr>
          <w:color w:val="000000" w:themeColor="text1"/>
        </w:rPr>
      </w:pPr>
      <w:r w:rsidRPr="00840D1B">
        <w:rPr>
          <w:color w:val="000000" w:themeColor="text1"/>
        </w:rPr>
        <w:t>Positioning Statements</w:t>
      </w:r>
    </w:p>
    <w:p w:rsidR="00AE02EC" w:rsidRPr="00840D1B" w:rsidRDefault="00AE02EC" w:rsidP="00AE02EC">
      <w:pPr>
        <w:pStyle w:val="Heading2"/>
        <w:rPr>
          <w:color w:val="000000" w:themeColor="text1"/>
        </w:rPr>
      </w:pPr>
    </w:p>
    <w:p w:rsidR="00AE02EC" w:rsidRPr="00840D1B" w:rsidRDefault="00AE02EC" w:rsidP="00AE02EC">
      <w:pPr>
        <w:pStyle w:val="BasicParagraph"/>
        <w:spacing w:after="120"/>
        <w:rPr>
          <w:rFonts w:ascii="Arial" w:hAnsi="Arial" w:cs="Arial"/>
          <w:color w:val="000000" w:themeColor="text1"/>
        </w:rPr>
      </w:pPr>
      <w:r w:rsidRPr="00840D1B">
        <w:rPr>
          <w:rFonts w:ascii="Arial" w:hAnsi="Arial" w:cs="Arial"/>
          <w:color w:val="000000" w:themeColor="text1"/>
        </w:rPr>
        <w:t xml:space="preserve">The positioning statement explains information regarding the Site and the purpose of the clinical trial. Combine the positioning statement with a supporting fact or statistic to link the positioning statement to the purpose of the trial and strengthen the overall key message. </w:t>
      </w:r>
    </w:p>
    <w:p w:rsidR="00AE02EC" w:rsidRPr="00840D1B" w:rsidRDefault="009855E1" w:rsidP="00AE02EC">
      <w:pPr>
        <w:pStyle w:val="BulletList1"/>
        <w:numPr>
          <w:ilvl w:val="0"/>
          <w:numId w:val="28"/>
        </w:numPr>
        <w:spacing w:after="119"/>
        <w:rPr>
          <w:rFonts w:ascii="Arial" w:hAnsi="Arial" w:cs="Arial"/>
          <w:color w:val="000000" w:themeColor="text1"/>
          <w:spacing w:val="-2"/>
        </w:rPr>
      </w:pPr>
      <w:r>
        <w:rPr>
          <w:rFonts w:ascii="Arial" w:hAnsi="Arial" w:cs="Arial"/>
          <w:color w:val="000000" w:themeColor="text1"/>
          <w:spacing w:val="-2"/>
        </w:rPr>
        <w:t>[Insert LAO/AO</w:t>
      </w:r>
      <w:r w:rsidR="00AE02EC" w:rsidRPr="00840D1B">
        <w:rPr>
          <w:rFonts w:ascii="Arial" w:hAnsi="Arial" w:cs="Arial"/>
          <w:color w:val="000000" w:themeColor="text1"/>
          <w:spacing w:val="-2"/>
        </w:rPr>
        <w:t xml:space="preserve"> Name] is a research site exploring new methods of cancer prevention and we need you to participate.</w:t>
      </w:r>
    </w:p>
    <w:p w:rsidR="00AE02EC" w:rsidRPr="00840D1B"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t xml:space="preserve">[Insert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is investigating new cancer prevention methods through a clinical trial. We are calling on you to join our community.</w:t>
      </w:r>
    </w:p>
    <w:p w:rsidR="00AE02EC" w:rsidRPr="00840D1B"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t xml:space="preserve">[Insert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is calling on you to prevent cancer now.</w:t>
      </w:r>
    </w:p>
    <w:p w:rsidR="00AE02EC"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t xml:space="preserve">To those who want to be part of something bigger, join a cancer prevention trial at [Insert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today.</w:t>
      </w:r>
    </w:p>
    <w:p w:rsidR="00E53004" w:rsidRPr="00E53004" w:rsidRDefault="00E53004" w:rsidP="00E53004">
      <w:pPr>
        <w:pStyle w:val="BasicParagraph"/>
      </w:pPr>
    </w:p>
    <w:p w:rsidR="00AE02EC" w:rsidRPr="00840D1B"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lastRenderedPageBreak/>
        <w:t xml:space="preserve">[Insert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is conducting a cancer prevention trial in your area.</w:t>
      </w:r>
    </w:p>
    <w:p w:rsidR="00AE02EC" w:rsidRPr="00840D1B"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t xml:space="preserve">[Insert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is conducting a cancer prevention trial in [Insert Location] and is in need of participants.</w:t>
      </w:r>
    </w:p>
    <w:p w:rsidR="00AE02EC" w:rsidRPr="00840D1B" w:rsidRDefault="00AE02EC" w:rsidP="00AE02EC">
      <w:pPr>
        <w:pStyle w:val="BulletList1"/>
        <w:numPr>
          <w:ilvl w:val="0"/>
          <w:numId w:val="28"/>
        </w:numPr>
        <w:spacing w:after="119"/>
        <w:rPr>
          <w:rFonts w:ascii="Arial" w:hAnsi="Arial" w:cs="Arial"/>
          <w:color w:val="000000" w:themeColor="text1"/>
          <w:spacing w:val="-2"/>
        </w:rPr>
      </w:pPr>
      <w:r w:rsidRPr="00840D1B">
        <w:rPr>
          <w:rFonts w:ascii="Arial" w:hAnsi="Arial" w:cs="Arial"/>
          <w:color w:val="000000" w:themeColor="text1"/>
          <w:spacing w:val="-2"/>
        </w:rPr>
        <w:t xml:space="preserve">We at [Insert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 need you to participate in a cancer prevention clinical trial today.</w:t>
      </w:r>
    </w:p>
    <w:p w:rsidR="00AE02EC" w:rsidRPr="00840D1B" w:rsidRDefault="00AE02EC" w:rsidP="00AE02EC">
      <w:pPr>
        <w:pStyle w:val="BulletList1"/>
        <w:numPr>
          <w:ilvl w:val="0"/>
          <w:numId w:val="28"/>
        </w:numPr>
        <w:spacing w:after="119"/>
        <w:rPr>
          <w:rFonts w:ascii="Arial" w:hAnsi="Arial" w:cs="Arial"/>
          <w:color w:val="000000" w:themeColor="text1"/>
        </w:rPr>
      </w:pPr>
      <w:r w:rsidRPr="00840D1B">
        <w:rPr>
          <w:rFonts w:ascii="Arial" w:hAnsi="Arial" w:cs="Arial"/>
          <w:color w:val="000000" w:themeColor="text1"/>
          <w:spacing w:val="-2"/>
        </w:rPr>
        <w:t xml:space="preserve">Find out more about [Insert Organ] cancer prevention with [Insert </w:t>
      </w:r>
      <w:r w:rsidR="009855E1">
        <w:rPr>
          <w:rFonts w:ascii="Arial" w:hAnsi="Arial" w:cs="Arial"/>
          <w:color w:val="000000" w:themeColor="text1"/>
          <w:spacing w:val="-2"/>
        </w:rPr>
        <w:t>LAO/AO</w:t>
      </w:r>
      <w:r w:rsidRPr="00840D1B">
        <w:rPr>
          <w:rFonts w:ascii="Arial" w:hAnsi="Arial" w:cs="Arial"/>
          <w:color w:val="000000" w:themeColor="text1"/>
          <w:spacing w:val="-2"/>
        </w:rPr>
        <w:t xml:space="preserve"> Name].</w:t>
      </w:r>
    </w:p>
    <w:p w:rsidR="00AE02EC" w:rsidRPr="00840D1B" w:rsidRDefault="00AE02EC" w:rsidP="00AE02EC">
      <w:pPr>
        <w:pStyle w:val="Heading2"/>
        <w:rPr>
          <w:color w:val="000000" w:themeColor="text1"/>
        </w:rPr>
      </w:pPr>
    </w:p>
    <w:p w:rsidR="00AE02EC" w:rsidRPr="00840D1B" w:rsidRDefault="00AE02EC" w:rsidP="00AE02EC">
      <w:pPr>
        <w:pStyle w:val="Heading2"/>
        <w:rPr>
          <w:color w:val="000000" w:themeColor="text1"/>
        </w:rPr>
      </w:pPr>
      <w:r w:rsidRPr="00840D1B">
        <w:rPr>
          <w:color w:val="000000" w:themeColor="text1"/>
        </w:rPr>
        <w:t>Call to Action Statements</w:t>
      </w:r>
    </w:p>
    <w:p w:rsidR="00AE02EC" w:rsidRPr="00840D1B" w:rsidRDefault="00AE02EC" w:rsidP="00AE02EC">
      <w:pPr>
        <w:pStyle w:val="Heading2"/>
        <w:rPr>
          <w:b w:val="0"/>
          <w:bCs/>
          <w:color w:val="000000" w:themeColor="text1"/>
          <w:sz w:val="20"/>
          <w:szCs w:val="20"/>
        </w:rPr>
      </w:pPr>
    </w:p>
    <w:p w:rsidR="00AE02EC" w:rsidRPr="00840D1B" w:rsidRDefault="00AE02EC" w:rsidP="00AE02EC">
      <w:pPr>
        <w:pStyle w:val="BasicParagraph"/>
        <w:rPr>
          <w:rFonts w:ascii="Arial" w:hAnsi="Arial" w:cs="Arial"/>
          <w:color w:val="000000" w:themeColor="text1"/>
        </w:rPr>
      </w:pPr>
      <w:r w:rsidRPr="00840D1B">
        <w:rPr>
          <w:rFonts w:ascii="Arial" w:hAnsi="Arial" w:cs="Arial"/>
          <w:color w:val="000000" w:themeColor="text1"/>
        </w:rPr>
        <w:t>The call to action statement directs the audience on how to become involved. Keep this phrase short and direct. The call</w:t>
      </w:r>
      <w:r>
        <w:rPr>
          <w:rFonts w:ascii="Arial" w:hAnsi="Arial" w:cs="Arial"/>
          <w:color w:val="000000" w:themeColor="text1"/>
        </w:rPr>
        <w:t xml:space="preserve"> </w:t>
      </w:r>
      <w:r w:rsidRPr="00840D1B">
        <w:rPr>
          <w:rFonts w:ascii="Arial" w:hAnsi="Arial" w:cs="Arial"/>
          <w:color w:val="000000" w:themeColor="text1"/>
        </w:rPr>
        <w:t>to action statement is routinely placed at the end of the key message and close to any contact information. In this way, the audience understands how to obtain more information. Sample call to action statements include:</w:t>
      </w:r>
    </w:p>
    <w:p w:rsidR="00AE02EC" w:rsidRPr="00840D1B" w:rsidRDefault="00AE02EC" w:rsidP="00AE02EC">
      <w:pPr>
        <w:pStyle w:val="BasicParagraph"/>
        <w:rPr>
          <w:rFonts w:ascii="Arial" w:hAnsi="Arial" w:cs="Arial"/>
          <w:color w:val="000000" w:themeColor="text1"/>
        </w:rPr>
      </w:pP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Learn more about cancer prevention with</w:t>
      </w:r>
      <w:r>
        <w:rPr>
          <w:rFonts w:ascii="Arial" w:hAnsi="Arial" w:cs="Arial"/>
          <w:color w:val="000000" w:themeColor="text1"/>
        </w:rPr>
        <w:t xml:space="preserve"> </w:t>
      </w:r>
      <w:r w:rsidRPr="00840D1B">
        <w:rPr>
          <w:rFonts w:ascii="Arial" w:hAnsi="Arial" w:cs="Arial"/>
          <w:color w:val="000000" w:themeColor="text1"/>
        </w:rPr>
        <w:t xml:space="preserve">[Insert </w:t>
      </w:r>
      <w:r w:rsidR="009855E1">
        <w:rPr>
          <w:rFonts w:ascii="Arial" w:hAnsi="Arial" w:cs="Arial"/>
          <w:color w:val="000000" w:themeColor="text1"/>
          <w:spacing w:val="-2"/>
        </w:rPr>
        <w:t>LAO/AO</w:t>
      </w:r>
      <w:bookmarkStart w:id="0" w:name="_GoBack"/>
      <w:bookmarkEnd w:id="0"/>
      <w:r w:rsidRPr="00840D1B">
        <w:rPr>
          <w:rFonts w:ascii="Arial" w:hAnsi="Arial" w:cs="Arial"/>
          <w:color w:val="000000" w:themeColor="text1"/>
        </w:rPr>
        <w:t xml:space="preserve"> Name]</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Join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Act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Sign up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Prevent cancer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Volunteer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Let’s work together</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Enroll now</w:t>
      </w:r>
    </w:p>
    <w:p w:rsidR="00AE02EC" w:rsidRPr="00840D1B" w:rsidRDefault="00AE02EC" w:rsidP="00AE02EC">
      <w:pPr>
        <w:pStyle w:val="BulletList1"/>
        <w:numPr>
          <w:ilvl w:val="0"/>
          <w:numId w:val="27"/>
        </w:numPr>
        <w:spacing w:after="0"/>
        <w:rPr>
          <w:rFonts w:ascii="Arial" w:hAnsi="Arial" w:cs="Arial"/>
          <w:color w:val="000000" w:themeColor="text1"/>
        </w:rPr>
      </w:pPr>
      <w:r w:rsidRPr="00840D1B">
        <w:rPr>
          <w:rFonts w:ascii="Arial" w:hAnsi="Arial" w:cs="Arial"/>
          <w:color w:val="000000" w:themeColor="text1"/>
        </w:rPr>
        <w:t>Learn more about [Insert Organ] cancer prevention</w:t>
      </w:r>
    </w:p>
    <w:p w:rsidR="00AE02EC" w:rsidRPr="00840D1B" w:rsidRDefault="00AE02EC" w:rsidP="00AE02EC">
      <w:pPr>
        <w:pStyle w:val="MediaTypeStandardHeading"/>
        <w:rPr>
          <w:rFonts w:ascii="Arial" w:hAnsi="Arial" w:cs="Arial"/>
          <w:color w:val="000000" w:themeColor="text1"/>
        </w:rPr>
      </w:pPr>
    </w:p>
    <w:p w:rsidR="00AE02EC" w:rsidRPr="00840D1B" w:rsidRDefault="00AE02EC" w:rsidP="00AE02EC">
      <w:pPr>
        <w:pStyle w:val="Heading2"/>
        <w:rPr>
          <w:color w:val="000000" w:themeColor="text1"/>
        </w:rPr>
      </w:pPr>
      <w:r w:rsidRPr="00840D1B">
        <w:rPr>
          <w:color w:val="000000" w:themeColor="text1"/>
        </w:rPr>
        <w:t>Supporting Facts/Statistics</w:t>
      </w:r>
      <w:r w:rsidRPr="00840D1B">
        <w:rPr>
          <w:color w:val="000000" w:themeColor="text1"/>
          <w:vertAlign w:val="superscript"/>
        </w:rPr>
        <w:t>39,40,41</w:t>
      </w:r>
    </w:p>
    <w:p w:rsidR="00AE02EC" w:rsidRPr="00840D1B" w:rsidRDefault="00AE02EC" w:rsidP="00AE02EC">
      <w:pPr>
        <w:pStyle w:val="Heading2"/>
        <w:rPr>
          <w:b w:val="0"/>
          <w:bCs/>
          <w:color w:val="000000" w:themeColor="text1"/>
          <w:sz w:val="20"/>
          <w:szCs w:val="20"/>
        </w:rPr>
      </w:pPr>
    </w:p>
    <w:p w:rsidR="00AE02EC" w:rsidRPr="00840D1B" w:rsidRDefault="00AE02EC" w:rsidP="00AE02EC">
      <w:pPr>
        <w:pStyle w:val="BasicParagraph"/>
        <w:spacing w:after="120"/>
        <w:rPr>
          <w:rFonts w:ascii="Arial" w:hAnsi="Arial" w:cs="Arial"/>
          <w:color w:val="000000" w:themeColor="text1"/>
        </w:rPr>
      </w:pPr>
      <w:r w:rsidRPr="00840D1B">
        <w:rPr>
          <w:rFonts w:ascii="Arial" w:hAnsi="Arial" w:cs="Arial"/>
          <w:color w:val="000000" w:themeColor="text1"/>
          <w:spacing w:val="0"/>
        </w:rPr>
        <w:t>Supporting facts and statistics can be combined with the</w:t>
      </w:r>
      <w:r>
        <w:rPr>
          <w:rFonts w:ascii="Arial" w:hAnsi="Arial" w:cs="Arial"/>
          <w:color w:val="000000" w:themeColor="text1"/>
          <w:spacing w:val="0"/>
        </w:rPr>
        <w:t xml:space="preserve"> </w:t>
      </w:r>
      <w:r w:rsidRPr="00840D1B">
        <w:rPr>
          <w:rFonts w:ascii="Arial" w:hAnsi="Arial" w:cs="Arial"/>
          <w:color w:val="000000" w:themeColor="text1"/>
          <w:spacing w:val="0"/>
        </w:rPr>
        <w:t>positioning statement to strengthen the message. Please note</w:t>
      </w:r>
      <w:r>
        <w:rPr>
          <w:rFonts w:ascii="Arial" w:hAnsi="Arial" w:cs="Arial"/>
          <w:color w:val="000000" w:themeColor="text1"/>
          <w:spacing w:val="0"/>
        </w:rPr>
        <w:t xml:space="preserve"> </w:t>
      </w:r>
      <w:r w:rsidRPr="00840D1B">
        <w:rPr>
          <w:rFonts w:ascii="Arial" w:hAnsi="Arial" w:cs="Arial"/>
          <w:color w:val="000000" w:themeColor="text1"/>
          <w:spacing w:val="0"/>
        </w:rPr>
        <w:t>all statistics (provided below) are from 2015 and should be verified for relevancy before use.</w:t>
      </w:r>
      <w:r>
        <w:rPr>
          <w:rFonts w:ascii="Arial" w:hAnsi="Arial" w:cs="Arial"/>
          <w:color w:val="000000" w:themeColor="text1"/>
          <w:spacing w:val="0"/>
        </w:rPr>
        <w:t xml:space="preserve"> </w:t>
      </w:r>
      <w:r w:rsidRPr="00840D1B">
        <w:rPr>
          <w:rFonts w:ascii="Arial" w:hAnsi="Arial" w:cs="Arial"/>
          <w:color w:val="000000" w:themeColor="text1"/>
        </w:rPr>
        <w:t>Risk factors for cancer include age, alcohol consumption, diet, hormones, obesity, radiation exposure, sunlight, and tobacco.</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In the U.S., the lifetime risk of developing cancer is higher in men (slightly less than 1 in 2) than for women (a little more than 1 in 3).</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spacing w:val="4"/>
        </w:rPr>
        <w:t>1,658,370 new cancer cases are expected to be diagnosed in 2015.</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In 2015, about 589,430 Americans are expected to die of cancer, or about 1,620 people per day.</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Cancer is the second most common cause of death in the U.S., exceeded only by heart disease, and accounts for nearly 1 of every 4 deaths.</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There are more than 100 types of cancers; any part of the body can be affected.</w:t>
      </w:r>
    </w:p>
    <w:p w:rsidR="00AE02EC"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 xml:space="preserve">Tobacco use is the single largest preventable cause of cancer in the world, causing 22% of </w:t>
      </w:r>
      <w:r>
        <w:rPr>
          <w:rFonts w:ascii="Arial" w:hAnsi="Arial" w:cs="Arial"/>
          <w:color w:val="000000" w:themeColor="text1"/>
        </w:rPr>
        <w:br/>
      </w:r>
      <w:r w:rsidRPr="00840D1B">
        <w:rPr>
          <w:rFonts w:ascii="Arial" w:hAnsi="Arial" w:cs="Arial"/>
          <w:color w:val="000000" w:themeColor="text1"/>
        </w:rPr>
        <w:t>cancer deaths.</w:t>
      </w:r>
    </w:p>
    <w:p w:rsidR="00AE02EC" w:rsidRPr="00AE02EC" w:rsidRDefault="00AE02EC" w:rsidP="00AE02EC">
      <w:pPr>
        <w:pStyle w:val="BasicParagraph"/>
      </w:pPr>
    </w:p>
    <w:p w:rsidR="00AE02EC" w:rsidRPr="00AE02EC" w:rsidRDefault="00AE02EC" w:rsidP="007D0AA1">
      <w:pPr>
        <w:pStyle w:val="BulletList1"/>
        <w:numPr>
          <w:ilvl w:val="0"/>
          <w:numId w:val="26"/>
        </w:numPr>
        <w:rPr>
          <w:rFonts w:ascii="Arial" w:hAnsi="Arial" w:cs="Arial"/>
          <w:color w:val="000000" w:themeColor="text1"/>
        </w:rPr>
      </w:pPr>
      <w:r w:rsidRPr="00AE02EC">
        <w:rPr>
          <w:rFonts w:ascii="Arial" w:hAnsi="Arial" w:cs="Arial"/>
          <w:color w:val="000000" w:themeColor="text1"/>
        </w:rPr>
        <w:lastRenderedPageBreak/>
        <w:t>Anyone can develop cancer, however, the risk of getting it increases with age. Most cases occur in middle-aged adults or older. About 77% of all cancers are diagnosed in people</w:t>
      </w:r>
      <w:r w:rsidRPr="00AE02EC">
        <w:rPr>
          <w:rFonts w:ascii="Arial" w:hAnsi="Arial" w:cs="Arial"/>
          <w:color w:val="000000" w:themeColor="text1"/>
        </w:rPr>
        <w:br/>
        <w:t>age 55 or older.</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In 2007, there were an estimated 12 million new cancer cases and 7.6 million cancer deaths globally. By 2050, the global cancer burden is expected to grow to 27 million new cancer cases (an increase of 55.56%) and 17.5 million cancer deaths per year (an increase of 56.57) globally.</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Tobacco use increases the risk of cancers of the lung, mouth, larynx, pharynx, esophagus, stomach, colon/rectum, liver, pancreas, kidney, bladder, uterus/cervix, and ovary (mucinous), as well as myeloid leukemia.</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 xml:space="preserve">Thirty percent of all cancer deaths and about 80% of lung </w:t>
      </w:r>
      <w:r>
        <w:rPr>
          <w:rFonts w:ascii="Arial" w:hAnsi="Arial" w:cs="Arial"/>
          <w:color w:val="000000" w:themeColor="text1"/>
        </w:rPr>
        <w:t>cancer deaths can be attributed</w:t>
      </w:r>
      <w:r>
        <w:rPr>
          <w:rFonts w:ascii="Arial" w:hAnsi="Arial" w:cs="Arial"/>
          <w:color w:val="000000" w:themeColor="text1"/>
        </w:rPr>
        <w:br/>
      </w:r>
      <w:r w:rsidRPr="00840D1B">
        <w:rPr>
          <w:rFonts w:ascii="Arial" w:hAnsi="Arial" w:cs="Arial"/>
          <w:color w:val="000000" w:themeColor="text1"/>
        </w:rPr>
        <w:t>to tobacco.</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Each year, smoking results in an estimated 480,000 premature deaths, and about one-third of these premature deaths are due to cancer.</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Tobacco use killed 100 million people in the 20th century and will kill 1 billion people in the 21st century if current trends continue.</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Health and cancer disparities predominantly arise from inequities in work, wealth, education, housing, and overall standard of living, as well as social barriers to high-quality cancer prevention, early detection, and treatment services.</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spacing w:val="2"/>
        </w:rPr>
        <w:t>Hispanics have the lowest rates of tobacco-related cancers, such as the lung and oral cavity, because of historically low smoking prevalence, but among the highest rates for cancers associated with infection, such as liver, stomach, and uterus/cervix.</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Asian and Pacific Islanders (APIs) have the lowest overall cancer incidence and mortality rates.</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Disparities in the cancer burden among racial and ethnic minorities largely reflect obstacles to receiving health care services related to cancer prevention, early detection, and high-quality treatment, with poverty as the overriding factor.</w:t>
      </w:r>
    </w:p>
    <w:p w:rsidR="00AE02EC" w:rsidRPr="00840D1B"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ClinicalTrials.gov currently lists 195,352 trials with locations in all 50 states and in 190 countries.</w:t>
      </w:r>
    </w:p>
    <w:p w:rsidR="00AE02EC" w:rsidRDefault="00AE02EC" w:rsidP="00AE02EC">
      <w:pPr>
        <w:pStyle w:val="BulletList1"/>
        <w:numPr>
          <w:ilvl w:val="0"/>
          <w:numId w:val="26"/>
        </w:numPr>
        <w:rPr>
          <w:rFonts w:ascii="Arial" w:hAnsi="Arial" w:cs="Arial"/>
          <w:color w:val="000000" w:themeColor="text1"/>
        </w:rPr>
      </w:pPr>
      <w:r w:rsidRPr="00840D1B">
        <w:rPr>
          <w:rFonts w:ascii="Arial" w:hAnsi="Arial" w:cs="Arial"/>
          <w:color w:val="000000" w:themeColor="text1"/>
        </w:rPr>
        <w:t xml:space="preserve">Clinical trials have increased every year; 195,352 total trials in 2015 compared to 5,635 in 2000. </w:t>
      </w:r>
    </w:p>
    <w:p w:rsidR="00AE02EC" w:rsidRDefault="00AE02EC" w:rsidP="00AE02EC">
      <w:pPr>
        <w:pStyle w:val="BasicParagraph"/>
      </w:pPr>
    </w:p>
    <w:p w:rsidR="00AE02EC" w:rsidRPr="00840D1B" w:rsidRDefault="00AE02EC" w:rsidP="00AE02EC">
      <w:pPr>
        <w:pStyle w:val="BasicParagraph"/>
        <w:rPr>
          <w:i/>
        </w:rPr>
      </w:pPr>
      <w:r>
        <w:rPr>
          <w:i/>
        </w:rPr>
        <w:t>See t</w:t>
      </w:r>
      <w:r w:rsidRPr="00840D1B">
        <w:rPr>
          <w:i/>
        </w:rPr>
        <w:t xml:space="preserve">he AQuIP Toolkit Manual for </w:t>
      </w:r>
      <w:r>
        <w:rPr>
          <w:i/>
        </w:rPr>
        <w:t xml:space="preserve">corresponding </w:t>
      </w:r>
      <w:r w:rsidRPr="00840D1B">
        <w:rPr>
          <w:i/>
        </w:rPr>
        <w:t>endnote references.</w:t>
      </w:r>
    </w:p>
    <w:p w:rsidR="001F0785" w:rsidRPr="00AE02EC" w:rsidRDefault="001F0785" w:rsidP="00AE02EC"/>
    <w:sectPr w:rsidR="001F0785" w:rsidRPr="00AE02EC" w:rsidSect="00FA5F3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785" w:rsidRDefault="001F0785" w:rsidP="00E36831">
      <w:r>
        <w:separator/>
      </w:r>
    </w:p>
  </w:endnote>
  <w:endnote w:type="continuationSeparator" w:id="0">
    <w:p w:rsidR="001F0785" w:rsidRDefault="001F0785" w:rsidP="00E3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CD" w:rsidRDefault="005F3CCD" w:rsidP="005F3CCD">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258"/>
    </w:tblGrid>
    <w:tr w:rsidR="005F3CCD" w:rsidRPr="00BF0DE3" w:rsidTr="006B3D99">
      <w:tc>
        <w:tcPr>
          <w:tcW w:w="6318" w:type="dxa"/>
          <w:shd w:val="clear" w:color="auto" w:fill="auto"/>
          <w:vAlign w:val="center"/>
        </w:tcPr>
        <w:p w:rsidR="005F3CCD" w:rsidRPr="00BF0DE3" w:rsidRDefault="005F3CCD" w:rsidP="00E53004">
          <w:pPr>
            <w:pStyle w:val="Footer"/>
            <w:tabs>
              <w:tab w:val="clear" w:pos="4680"/>
              <w:tab w:val="clear" w:pos="9360"/>
            </w:tabs>
          </w:pPr>
          <w:r w:rsidRPr="00BF0DE3">
            <w:fldChar w:fldCharType="begin"/>
          </w:r>
          <w:r w:rsidRPr="00BF0DE3">
            <w:instrText xml:space="preserve"> PAGE   \* MERGEFORMAT </w:instrText>
          </w:r>
          <w:r w:rsidRPr="00BF0DE3">
            <w:fldChar w:fldCharType="separate"/>
          </w:r>
          <w:r w:rsidR="009855E1">
            <w:rPr>
              <w:noProof/>
            </w:rPr>
            <w:t>4</w:t>
          </w:r>
          <w:r w:rsidRPr="00BF0DE3">
            <w:rPr>
              <w:noProof/>
            </w:rPr>
            <w:fldChar w:fldCharType="end"/>
          </w:r>
          <w:r w:rsidR="00741221">
            <w:rPr>
              <w:noProof/>
            </w:rPr>
            <w:t xml:space="preserve">  </w:t>
          </w:r>
          <w:r w:rsidR="00741221" w:rsidRPr="001B6863">
            <w:rPr>
              <w:sz w:val="28"/>
            </w:rPr>
            <w:t>|</w:t>
          </w:r>
          <w:r w:rsidR="00741221">
            <w:rPr>
              <w:sz w:val="28"/>
            </w:rPr>
            <w:t xml:space="preserve">  </w:t>
          </w:r>
          <w:r w:rsidR="00741221" w:rsidRPr="00E5149A">
            <w:rPr>
              <w:color w:val="7F7F7F" w:themeColor="text1" w:themeTint="80"/>
              <w:sz w:val="18"/>
            </w:rPr>
            <w:t xml:space="preserve">AQuIP Toolkit  Media Templates </w:t>
          </w:r>
          <w:r w:rsidR="00741221">
            <w:rPr>
              <w:color w:val="7F7F7F" w:themeColor="text1" w:themeTint="80"/>
              <w:sz w:val="18"/>
            </w:rPr>
            <w:t>–</w:t>
          </w:r>
          <w:r w:rsidR="00741221" w:rsidRPr="00E5149A">
            <w:rPr>
              <w:color w:val="7F7F7F" w:themeColor="text1" w:themeTint="80"/>
              <w:sz w:val="18"/>
            </w:rPr>
            <w:t xml:space="preserve"> </w:t>
          </w:r>
          <w:r w:rsidR="00E53004">
            <w:rPr>
              <w:color w:val="7F7F7F" w:themeColor="text1" w:themeTint="80"/>
              <w:sz w:val="18"/>
            </w:rPr>
            <w:t>Key Messages</w:t>
          </w:r>
          <w:r w:rsidR="00741221" w:rsidRPr="00E5149A">
            <w:rPr>
              <w:color w:val="7F7F7F" w:themeColor="text1" w:themeTint="80"/>
              <w:sz w:val="18"/>
            </w:rPr>
            <w:t xml:space="preserve">   </w:t>
          </w:r>
        </w:p>
      </w:tc>
      <w:tc>
        <w:tcPr>
          <w:tcW w:w="3258" w:type="dxa"/>
          <w:shd w:val="clear" w:color="auto" w:fill="auto"/>
          <w:vAlign w:val="center"/>
        </w:tcPr>
        <w:p w:rsidR="005F3CCD" w:rsidRPr="00BF0DE3" w:rsidRDefault="0094702E" w:rsidP="00B15A62">
          <w:pPr>
            <w:pStyle w:val="Footer"/>
            <w:tabs>
              <w:tab w:val="clear" w:pos="4680"/>
              <w:tab w:val="clear" w:pos="9360"/>
            </w:tabs>
            <w:jc w:val="right"/>
          </w:pPr>
          <w:r>
            <w:rPr>
              <w:noProof/>
            </w:rPr>
            <w:drawing>
              <wp:inline distT="0" distB="0" distL="0" distR="0" wp14:anchorId="13049582" wp14:editId="31E86907">
                <wp:extent cx="1806647" cy="3911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_NCI_DCP_BrandIdentity_Group_PPT.png"/>
                        <pic:cNvPicPr/>
                      </pic:nvPicPr>
                      <pic:blipFill rotWithShape="1">
                        <a:blip r:embed="rId1">
                          <a:extLst>
                            <a:ext uri="{28A0092B-C50C-407E-A947-70E740481C1C}">
                              <a14:useLocalDpi xmlns:a14="http://schemas.microsoft.com/office/drawing/2010/main" val="0"/>
                            </a:ext>
                          </a:extLst>
                        </a:blip>
                        <a:srcRect l="20530"/>
                        <a:stretch/>
                      </pic:blipFill>
                      <pic:spPr bwMode="auto">
                        <a:xfrm>
                          <a:off x="0" y="0"/>
                          <a:ext cx="1850349" cy="400622"/>
                        </a:xfrm>
                        <a:prstGeom prst="rect">
                          <a:avLst/>
                        </a:prstGeom>
                        <a:ln>
                          <a:noFill/>
                        </a:ln>
                        <a:extLst>
                          <a:ext uri="{53640926-AAD7-44D8-BBD7-CCE9431645EC}">
                            <a14:shadowObscured xmlns:a14="http://schemas.microsoft.com/office/drawing/2010/main"/>
                          </a:ext>
                        </a:extLst>
                      </pic:spPr>
                    </pic:pic>
                  </a:graphicData>
                </a:graphic>
              </wp:inline>
            </w:drawing>
          </w:r>
          <w:r w:rsidR="005F3CCD">
            <w:t xml:space="preserve"> </w:t>
          </w:r>
        </w:p>
      </w:tc>
    </w:tr>
  </w:tbl>
  <w:p w:rsidR="005F3CCD" w:rsidRPr="005F3CCD" w:rsidRDefault="005F3CCD" w:rsidP="005F3C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E3" w:rsidRDefault="00BF0DE3" w:rsidP="00E36831">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318"/>
    </w:tblGrid>
    <w:tr w:rsidR="00BF0DE3" w:rsidRPr="00BF0DE3" w:rsidTr="006B3D99">
      <w:tc>
        <w:tcPr>
          <w:tcW w:w="3258" w:type="dxa"/>
          <w:shd w:val="clear" w:color="auto" w:fill="auto"/>
          <w:vAlign w:val="center"/>
        </w:tcPr>
        <w:p w:rsidR="00BF0DE3" w:rsidRPr="00BF0DE3" w:rsidRDefault="00BF0DE3" w:rsidP="00BF0DE3">
          <w:pPr>
            <w:pStyle w:val="Footer"/>
            <w:tabs>
              <w:tab w:val="clear" w:pos="4680"/>
              <w:tab w:val="clear" w:pos="9360"/>
            </w:tabs>
          </w:pPr>
          <w:r>
            <w:rPr>
              <w:noProof/>
            </w:rPr>
            <w:drawing>
              <wp:inline distT="0" distB="0" distL="0" distR="0" wp14:anchorId="7A791A89" wp14:editId="12FBE55F">
                <wp:extent cx="1797122" cy="391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_NCI_DCP_BrandIdentity_Group_PPT.png"/>
                        <pic:cNvPicPr/>
                      </pic:nvPicPr>
                      <pic:blipFill rotWithShape="1">
                        <a:blip r:embed="rId1">
                          <a:extLst>
                            <a:ext uri="{28A0092B-C50C-407E-A947-70E740481C1C}">
                              <a14:useLocalDpi xmlns:a14="http://schemas.microsoft.com/office/drawing/2010/main" val="0"/>
                            </a:ext>
                          </a:extLst>
                        </a:blip>
                        <a:srcRect l="20949"/>
                        <a:stretch/>
                      </pic:blipFill>
                      <pic:spPr bwMode="auto">
                        <a:xfrm>
                          <a:off x="0" y="0"/>
                          <a:ext cx="1840594" cy="400622"/>
                        </a:xfrm>
                        <a:prstGeom prst="rect">
                          <a:avLst/>
                        </a:prstGeom>
                        <a:ln>
                          <a:noFill/>
                        </a:ln>
                        <a:extLst>
                          <a:ext uri="{53640926-AAD7-44D8-BBD7-CCE9431645EC}">
                            <a14:shadowObscured xmlns:a14="http://schemas.microsoft.com/office/drawing/2010/main"/>
                          </a:ext>
                        </a:extLst>
                      </pic:spPr>
                    </pic:pic>
                  </a:graphicData>
                </a:graphic>
              </wp:inline>
            </w:drawing>
          </w:r>
        </w:p>
      </w:tc>
      <w:tc>
        <w:tcPr>
          <w:tcW w:w="6318" w:type="dxa"/>
          <w:shd w:val="clear" w:color="auto" w:fill="auto"/>
          <w:vAlign w:val="center"/>
        </w:tcPr>
        <w:p w:rsidR="00BF0DE3" w:rsidRPr="00BF0DE3" w:rsidRDefault="00741221" w:rsidP="00E53004">
          <w:pPr>
            <w:pStyle w:val="Footer"/>
            <w:tabs>
              <w:tab w:val="clear" w:pos="4680"/>
              <w:tab w:val="clear" w:pos="9360"/>
            </w:tabs>
            <w:jc w:val="right"/>
          </w:pPr>
          <w:r w:rsidRPr="00E5149A">
            <w:rPr>
              <w:color w:val="7F7F7F" w:themeColor="text1" w:themeTint="80"/>
              <w:sz w:val="18"/>
            </w:rPr>
            <w:t xml:space="preserve">AQuIP Toolkit  Media Templates </w:t>
          </w:r>
          <w:r>
            <w:rPr>
              <w:color w:val="7F7F7F" w:themeColor="text1" w:themeTint="80"/>
              <w:sz w:val="18"/>
            </w:rPr>
            <w:t>–</w:t>
          </w:r>
          <w:r w:rsidRPr="00E5149A">
            <w:rPr>
              <w:color w:val="7F7F7F" w:themeColor="text1" w:themeTint="80"/>
              <w:sz w:val="18"/>
            </w:rPr>
            <w:t xml:space="preserve"> </w:t>
          </w:r>
          <w:r w:rsidR="00E53004">
            <w:rPr>
              <w:color w:val="7F7F7F" w:themeColor="text1" w:themeTint="80"/>
              <w:sz w:val="18"/>
            </w:rPr>
            <w:t xml:space="preserve">Key Messages </w:t>
          </w:r>
          <w:r w:rsidRPr="001B6863">
            <w:rPr>
              <w:sz w:val="28"/>
            </w:rPr>
            <w:t>|</w:t>
          </w:r>
          <w:r w:rsidRPr="001B6863">
            <w:t xml:space="preserve">  </w:t>
          </w:r>
          <w:r w:rsidR="00BF0DE3" w:rsidRPr="00BF0DE3">
            <w:fldChar w:fldCharType="begin"/>
          </w:r>
          <w:r w:rsidR="00BF0DE3" w:rsidRPr="00BF0DE3">
            <w:instrText xml:space="preserve"> PAGE   \* MERGEFORMAT </w:instrText>
          </w:r>
          <w:r w:rsidR="00BF0DE3" w:rsidRPr="00BF0DE3">
            <w:fldChar w:fldCharType="separate"/>
          </w:r>
          <w:r w:rsidR="009855E1">
            <w:rPr>
              <w:noProof/>
            </w:rPr>
            <w:t>3</w:t>
          </w:r>
          <w:r w:rsidR="00BF0DE3" w:rsidRPr="00BF0DE3">
            <w:rPr>
              <w:noProof/>
            </w:rPr>
            <w:fldChar w:fldCharType="end"/>
          </w:r>
        </w:p>
      </w:tc>
    </w:tr>
  </w:tbl>
  <w:p w:rsidR="001F0785" w:rsidRDefault="001F0785" w:rsidP="00BF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785" w:rsidRDefault="001F0785" w:rsidP="00E36831">
      <w:r>
        <w:separator/>
      </w:r>
    </w:p>
  </w:footnote>
  <w:footnote w:type="continuationSeparator" w:id="0">
    <w:p w:rsidR="001F0785" w:rsidRDefault="001F0785" w:rsidP="00E36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40D"/>
    <w:multiLevelType w:val="hybridMultilevel"/>
    <w:tmpl w:val="189E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53AC"/>
    <w:multiLevelType w:val="hybridMultilevel"/>
    <w:tmpl w:val="647E9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241C0"/>
    <w:multiLevelType w:val="hybridMultilevel"/>
    <w:tmpl w:val="532C2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5434"/>
    <w:multiLevelType w:val="hybridMultilevel"/>
    <w:tmpl w:val="236AF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6F4F51"/>
    <w:multiLevelType w:val="hybridMultilevel"/>
    <w:tmpl w:val="B142B4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901FB"/>
    <w:multiLevelType w:val="hybridMultilevel"/>
    <w:tmpl w:val="29C8290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234DF"/>
    <w:multiLevelType w:val="hybridMultilevel"/>
    <w:tmpl w:val="9DD8E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870978"/>
    <w:multiLevelType w:val="hybridMultilevel"/>
    <w:tmpl w:val="EB2C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65C28"/>
    <w:multiLevelType w:val="hybridMultilevel"/>
    <w:tmpl w:val="63206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66F57"/>
    <w:multiLevelType w:val="hybridMultilevel"/>
    <w:tmpl w:val="3428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A3057"/>
    <w:multiLevelType w:val="hybridMultilevel"/>
    <w:tmpl w:val="7762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30401"/>
    <w:multiLevelType w:val="hybridMultilevel"/>
    <w:tmpl w:val="81A8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105D1"/>
    <w:multiLevelType w:val="hybridMultilevel"/>
    <w:tmpl w:val="9BF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585373"/>
    <w:multiLevelType w:val="hybridMultilevel"/>
    <w:tmpl w:val="6BEC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83A4D"/>
    <w:multiLevelType w:val="hybridMultilevel"/>
    <w:tmpl w:val="D760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A0AFD"/>
    <w:multiLevelType w:val="hybridMultilevel"/>
    <w:tmpl w:val="61E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53B48"/>
    <w:multiLevelType w:val="hybridMultilevel"/>
    <w:tmpl w:val="FBCC8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03677"/>
    <w:multiLevelType w:val="hybridMultilevel"/>
    <w:tmpl w:val="76924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864431"/>
    <w:multiLevelType w:val="hybridMultilevel"/>
    <w:tmpl w:val="BEF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A4D7A"/>
    <w:multiLevelType w:val="hybridMultilevel"/>
    <w:tmpl w:val="3170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4653"/>
    <w:multiLevelType w:val="hybridMultilevel"/>
    <w:tmpl w:val="67580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804006"/>
    <w:multiLevelType w:val="hybridMultilevel"/>
    <w:tmpl w:val="0B82BA7E"/>
    <w:lvl w:ilvl="0" w:tplc="90C423FA">
      <w:start w:val="1"/>
      <w:numFmt w:val="bullet"/>
      <w:pStyle w:val="BulletLevel1"/>
      <w:lvlText w:val=""/>
      <w:lvlJc w:val="left"/>
      <w:pPr>
        <w:ind w:left="720" w:hanging="360"/>
      </w:pPr>
      <w:rPr>
        <w:rFonts w:ascii="Symbol" w:hAnsi="Symbol" w:hint="default"/>
      </w:rPr>
    </w:lvl>
    <w:lvl w:ilvl="1" w:tplc="EFC88E7C">
      <w:start w:val="1"/>
      <w:numFmt w:val="bullet"/>
      <w:pStyle w:val="BulletLevel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10889"/>
    <w:multiLevelType w:val="hybridMultilevel"/>
    <w:tmpl w:val="57EC6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A1889"/>
    <w:multiLevelType w:val="hybridMultilevel"/>
    <w:tmpl w:val="D9FE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63B00"/>
    <w:multiLevelType w:val="hybridMultilevel"/>
    <w:tmpl w:val="7C7AC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D2490"/>
    <w:multiLevelType w:val="hybridMultilevel"/>
    <w:tmpl w:val="D644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23E12"/>
    <w:multiLevelType w:val="hybridMultilevel"/>
    <w:tmpl w:val="02FA9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292B"/>
    <w:multiLevelType w:val="hybridMultilevel"/>
    <w:tmpl w:val="4296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7"/>
  </w:num>
  <w:num w:numId="4">
    <w:abstractNumId w:val="15"/>
  </w:num>
  <w:num w:numId="5">
    <w:abstractNumId w:val="25"/>
  </w:num>
  <w:num w:numId="6">
    <w:abstractNumId w:val="27"/>
  </w:num>
  <w:num w:numId="7">
    <w:abstractNumId w:val="8"/>
  </w:num>
  <w:num w:numId="8">
    <w:abstractNumId w:val="12"/>
  </w:num>
  <w:num w:numId="9">
    <w:abstractNumId w:val="5"/>
  </w:num>
  <w:num w:numId="10">
    <w:abstractNumId w:val="20"/>
  </w:num>
  <w:num w:numId="11">
    <w:abstractNumId w:val="4"/>
  </w:num>
  <w:num w:numId="12">
    <w:abstractNumId w:val="14"/>
  </w:num>
  <w:num w:numId="13">
    <w:abstractNumId w:val="6"/>
  </w:num>
  <w:num w:numId="14">
    <w:abstractNumId w:val="3"/>
  </w:num>
  <w:num w:numId="15">
    <w:abstractNumId w:val="9"/>
  </w:num>
  <w:num w:numId="16">
    <w:abstractNumId w:val="2"/>
  </w:num>
  <w:num w:numId="17">
    <w:abstractNumId w:val="18"/>
  </w:num>
  <w:num w:numId="18">
    <w:abstractNumId w:val="1"/>
  </w:num>
  <w:num w:numId="19">
    <w:abstractNumId w:val="26"/>
  </w:num>
  <w:num w:numId="20">
    <w:abstractNumId w:val="24"/>
  </w:num>
  <w:num w:numId="21">
    <w:abstractNumId w:val="21"/>
  </w:num>
  <w:num w:numId="22">
    <w:abstractNumId w:val="16"/>
  </w:num>
  <w:num w:numId="23">
    <w:abstractNumId w:val="22"/>
  </w:num>
  <w:num w:numId="24">
    <w:abstractNumId w:val="7"/>
  </w:num>
  <w:num w:numId="25">
    <w:abstractNumId w:val="23"/>
  </w:num>
  <w:num w:numId="26">
    <w:abstractNumId w:val="13"/>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49"/>
    <w:rsid w:val="000011E9"/>
    <w:rsid w:val="00002801"/>
    <w:rsid w:val="000169D5"/>
    <w:rsid w:val="000244B3"/>
    <w:rsid w:val="00033937"/>
    <w:rsid w:val="0004502B"/>
    <w:rsid w:val="000B743E"/>
    <w:rsid w:val="00141072"/>
    <w:rsid w:val="00165C2E"/>
    <w:rsid w:val="00177DF7"/>
    <w:rsid w:val="001826A1"/>
    <w:rsid w:val="001D60AD"/>
    <w:rsid w:val="001E1DB3"/>
    <w:rsid w:val="001F0785"/>
    <w:rsid w:val="001F7C4F"/>
    <w:rsid w:val="002065BA"/>
    <w:rsid w:val="002322FE"/>
    <w:rsid w:val="002634E7"/>
    <w:rsid w:val="002B2492"/>
    <w:rsid w:val="002C4EF5"/>
    <w:rsid w:val="002D3BA5"/>
    <w:rsid w:val="002F4BE2"/>
    <w:rsid w:val="0031004F"/>
    <w:rsid w:val="0032526D"/>
    <w:rsid w:val="00332379"/>
    <w:rsid w:val="00366249"/>
    <w:rsid w:val="003800C9"/>
    <w:rsid w:val="003A59BD"/>
    <w:rsid w:val="003E0249"/>
    <w:rsid w:val="00406AC6"/>
    <w:rsid w:val="00453F69"/>
    <w:rsid w:val="004800A0"/>
    <w:rsid w:val="004B2995"/>
    <w:rsid w:val="004C6104"/>
    <w:rsid w:val="004D0601"/>
    <w:rsid w:val="004D2013"/>
    <w:rsid w:val="00533D15"/>
    <w:rsid w:val="00547762"/>
    <w:rsid w:val="0056706A"/>
    <w:rsid w:val="005F3CCD"/>
    <w:rsid w:val="006049DB"/>
    <w:rsid w:val="00605C3C"/>
    <w:rsid w:val="0061259D"/>
    <w:rsid w:val="006146A3"/>
    <w:rsid w:val="00615F08"/>
    <w:rsid w:val="00637280"/>
    <w:rsid w:val="00652606"/>
    <w:rsid w:val="0065590B"/>
    <w:rsid w:val="00670313"/>
    <w:rsid w:val="006839B0"/>
    <w:rsid w:val="00683EE5"/>
    <w:rsid w:val="006B3D99"/>
    <w:rsid w:val="006C5A41"/>
    <w:rsid w:val="006F5EBB"/>
    <w:rsid w:val="006F699C"/>
    <w:rsid w:val="00741221"/>
    <w:rsid w:val="00765A7A"/>
    <w:rsid w:val="007A11F0"/>
    <w:rsid w:val="007C4894"/>
    <w:rsid w:val="007F2AB6"/>
    <w:rsid w:val="00834AF5"/>
    <w:rsid w:val="008D7001"/>
    <w:rsid w:val="008F17D7"/>
    <w:rsid w:val="00921900"/>
    <w:rsid w:val="0094702E"/>
    <w:rsid w:val="00950ACB"/>
    <w:rsid w:val="00960018"/>
    <w:rsid w:val="00961B9B"/>
    <w:rsid w:val="009855E1"/>
    <w:rsid w:val="009B24CE"/>
    <w:rsid w:val="009E7269"/>
    <w:rsid w:val="009F3DE4"/>
    <w:rsid w:val="00A42CD0"/>
    <w:rsid w:val="00A70022"/>
    <w:rsid w:val="00A70673"/>
    <w:rsid w:val="00AB5460"/>
    <w:rsid w:val="00AE02EC"/>
    <w:rsid w:val="00B03671"/>
    <w:rsid w:val="00B37032"/>
    <w:rsid w:val="00BB3CE5"/>
    <w:rsid w:val="00BD6361"/>
    <w:rsid w:val="00BE032D"/>
    <w:rsid w:val="00BF0DE3"/>
    <w:rsid w:val="00C03F2B"/>
    <w:rsid w:val="00C17CFF"/>
    <w:rsid w:val="00C4038E"/>
    <w:rsid w:val="00C4445A"/>
    <w:rsid w:val="00C728D0"/>
    <w:rsid w:val="00C91143"/>
    <w:rsid w:val="00C96A75"/>
    <w:rsid w:val="00CE1350"/>
    <w:rsid w:val="00D05A39"/>
    <w:rsid w:val="00D07F9C"/>
    <w:rsid w:val="00D25C2C"/>
    <w:rsid w:val="00D71619"/>
    <w:rsid w:val="00DC040B"/>
    <w:rsid w:val="00DF5409"/>
    <w:rsid w:val="00E23740"/>
    <w:rsid w:val="00E339C2"/>
    <w:rsid w:val="00E36831"/>
    <w:rsid w:val="00E53004"/>
    <w:rsid w:val="00E8707C"/>
    <w:rsid w:val="00EA1F78"/>
    <w:rsid w:val="00EB29CC"/>
    <w:rsid w:val="00F0050C"/>
    <w:rsid w:val="00F067E3"/>
    <w:rsid w:val="00F70632"/>
    <w:rsid w:val="00F74F63"/>
    <w:rsid w:val="00FA5F35"/>
    <w:rsid w:val="00FB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E30A98D-7790-4C76-AB1E-A0AB440C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31"/>
    <w:pPr>
      <w:spacing w:after="160" w:line="240" w:lineRule="auto"/>
    </w:pPr>
    <w:rPr>
      <w:rFonts w:ascii="Arial" w:hAnsi="Arial" w:cs="Arial"/>
    </w:rPr>
  </w:style>
  <w:style w:type="paragraph" w:styleId="Heading1">
    <w:name w:val="heading 1"/>
    <w:basedOn w:val="Normal"/>
    <w:next w:val="Normal"/>
    <w:link w:val="Heading1Char"/>
    <w:uiPriority w:val="9"/>
    <w:qFormat/>
    <w:rsid w:val="001F0785"/>
    <w:pPr>
      <w:pBdr>
        <w:bottom w:val="single" w:sz="12" w:space="1" w:color="auto"/>
      </w:pBdr>
      <w:outlineLvl w:val="0"/>
    </w:pPr>
    <w:rPr>
      <w:b/>
      <w:sz w:val="28"/>
    </w:rPr>
  </w:style>
  <w:style w:type="paragraph" w:styleId="Heading2">
    <w:name w:val="heading 2"/>
    <w:basedOn w:val="Normal"/>
    <w:next w:val="Normal"/>
    <w:link w:val="Heading2Char"/>
    <w:uiPriority w:val="9"/>
    <w:unhideWhenUsed/>
    <w:qFormat/>
    <w:rsid w:val="001F0785"/>
    <w:pPr>
      <w:spacing w:after="0"/>
      <w:outlineLvl w:val="1"/>
    </w:pPr>
    <w:rPr>
      <w:b/>
    </w:rPr>
  </w:style>
  <w:style w:type="paragraph" w:styleId="Heading3">
    <w:name w:val="heading 3"/>
    <w:basedOn w:val="Normal"/>
    <w:next w:val="Normal"/>
    <w:link w:val="Heading3Char"/>
    <w:uiPriority w:val="9"/>
    <w:unhideWhenUsed/>
    <w:qFormat/>
    <w:rsid w:val="001F07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249"/>
    <w:pPr>
      <w:ind w:left="720"/>
      <w:contextualSpacing/>
    </w:pPr>
  </w:style>
  <w:style w:type="paragraph" w:styleId="NormalWeb">
    <w:name w:val="Normal (Web)"/>
    <w:basedOn w:val="Normal"/>
    <w:uiPriority w:val="99"/>
    <w:semiHidden/>
    <w:unhideWhenUsed/>
    <w:rsid w:val="00C9114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91143"/>
    <w:rPr>
      <w:b/>
      <w:bCs/>
    </w:rPr>
  </w:style>
  <w:style w:type="paragraph" w:styleId="BalloonText">
    <w:name w:val="Balloon Text"/>
    <w:basedOn w:val="Normal"/>
    <w:link w:val="BalloonTextChar"/>
    <w:uiPriority w:val="99"/>
    <w:semiHidden/>
    <w:unhideWhenUsed/>
    <w:rsid w:val="00765A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7A"/>
    <w:rPr>
      <w:rFonts w:ascii="Tahoma" w:hAnsi="Tahoma" w:cs="Tahoma"/>
      <w:sz w:val="16"/>
      <w:szCs w:val="16"/>
    </w:rPr>
  </w:style>
  <w:style w:type="character" w:styleId="Hyperlink">
    <w:name w:val="Hyperlink"/>
    <w:basedOn w:val="DefaultParagraphFont"/>
    <w:uiPriority w:val="99"/>
    <w:unhideWhenUsed/>
    <w:rsid w:val="00A42CD0"/>
    <w:rPr>
      <w:color w:val="0000FF"/>
      <w:u w:val="single"/>
    </w:rPr>
  </w:style>
  <w:style w:type="character" w:customStyle="1" w:styleId="Heading1Char">
    <w:name w:val="Heading 1 Char"/>
    <w:basedOn w:val="DefaultParagraphFont"/>
    <w:link w:val="Heading1"/>
    <w:uiPriority w:val="9"/>
    <w:rsid w:val="001F0785"/>
    <w:rPr>
      <w:rFonts w:ascii="Arial" w:hAnsi="Arial" w:cs="Arial"/>
      <w:b/>
      <w:sz w:val="28"/>
    </w:rPr>
  </w:style>
  <w:style w:type="character" w:customStyle="1" w:styleId="Heading2Char">
    <w:name w:val="Heading 2 Char"/>
    <w:basedOn w:val="DefaultParagraphFont"/>
    <w:link w:val="Heading2"/>
    <w:uiPriority w:val="9"/>
    <w:rsid w:val="001F0785"/>
    <w:rPr>
      <w:rFonts w:ascii="Arial" w:hAnsi="Arial" w:cs="Arial"/>
      <w:b/>
    </w:rPr>
  </w:style>
  <w:style w:type="table" w:styleId="TableGrid">
    <w:name w:val="Table Grid"/>
    <w:basedOn w:val="TableNormal"/>
    <w:uiPriority w:val="59"/>
    <w:rsid w:val="001F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F0785"/>
    <w:rPr>
      <w:b/>
      <w:color w:val="C00000"/>
      <w:sz w:val="28"/>
    </w:rPr>
  </w:style>
  <w:style w:type="character" w:customStyle="1" w:styleId="TitleChar">
    <w:name w:val="Title Char"/>
    <w:basedOn w:val="DefaultParagraphFont"/>
    <w:link w:val="Title"/>
    <w:uiPriority w:val="10"/>
    <w:rsid w:val="001F0785"/>
    <w:rPr>
      <w:rFonts w:ascii="Arial" w:hAnsi="Arial" w:cs="Arial"/>
      <w:b/>
      <w:color w:val="C00000"/>
      <w:sz w:val="28"/>
    </w:rPr>
  </w:style>
  <w:style w:type="character" w:customStyle="1" w:styleId="Heading3Char">
    <w:name w:val="Heading 3 Char"/>
    <w:basedOn w:val="DefaultParagraphFont"/>
    <w:link w:val="Heading3"/>
    <w:uiPriority w:val="9"/>
    <w:rsid w:val="001F0785"/>
    <w:rPr>
      <w:rFonts w:asciiTheme="majorHAnsi" w:eastAsiaTheme="majorEastAsia" w:hAnsiTheme="majorHAnsi" w:cstheme="majorBidi"/>
      <w:b/>
      <w:bCs/>
      <w:color w:val="4F81BD" w:themeColor="accent1"/>
    </w:rPr>
  </w:style>
  <w:style w:type="paragraph" w:customStyle="1" w:styleId="BulletLevel1">
    <w:name w:val="Bullet Level 1"/>
    <w:basedOn w:val="ListParagraph"/>
    <w:link w:val="BulletLevel1Char"/>
    <w:qFormat/>
    <w:rsid w:val="00CE1350"/>
    <w:pPr>
      <w:numPr>
        <w:numId w:val="21"/>
      </w:numPr>
      <w:spacing w:after="120"/>
      <w:contextualSpacing w:val="0"/>
    </w:pPr>
  </w:style>
  <w:style w:type="paragraph" w:customStyle="1" w:styleId="BulletLevel2">
    <w:name w:val="Bullet Level 2"/>
    <w:basedOn w:val="ListParagraph"/>
    <w:link w:val="BulletLevel2Char"/>
    <w:qFormat/>
    <w:rsid w:val="00CE1350"/>
    <w:pPr>
      <w:numPr>
        <w:ilvl w:val="1"/>
        <w:numId w:val="21"/>
      </w:numPr>
      <w:spacing w:after="120"/>
      <w:contextualSpacing w:val="0"/>
    </w:pPr>
  </w:style>
  <w:style w:type="character" w:customStyle="1" w:styleId="ListParagraphChar">
    <w:name w:val="List Paragraph Char"/>
    <w:basedOn w:val="DefaultParagraphFont"/>
    <w:link w:val="ListParagraph"/>
    <w:uiPriority w:val="34"/>
    <w:rsid w:val="001F0785"/>
  </w:style>
  <w:style w:type="character" w:customStyle="1" w:styleId="BulletLevel1Char">
    <w:name w:val="Bullet Level 1 Char"/>
    <w:basedOn w:val="ListParagraphChar"/>
    <w:link w:val="BulletLevel1"/>
    <w:rsid w:val="00CE1350"/>
    <w:rPr>
      <w:rFonts w:ascii="Arial" w:hAnsi="Arial" w:cs="Arial"/>
    </w:rPr>
  </w:style>
  <w:style w:type="paragraph" w:styleId="Header">
    <w:name w:val="header"/>
    <w:basedOn w:val="Normal"/>
    <w:link w:val="HeaderChar"/>
    <w:uiPriority w:val="99"/>
    <w:unhideWhenUsed/>
    <w:rsid w:val="001F0785"/>
    <w:pPr>
      <w:tabs>
        <w:tab w:val="center" w:pos="4680"/>
        <w:tab w:val="right" w:pos="9360"/>
      </w:tabs>
      <w:spacing w:after="0"/>
    </w:pPr>
  </w:style>
  <w:style w:type="character" w:customStyle="1" w:styleId="BulletLevel2Char">
    <w:name w:val="Bullet Level 2 Char"/>
    <w:basedOn w:val="ListParagraphChar"/>
    <w:link w:val="BulletLevel2"/>
    <w:rsid w:val="00CE1350"/>
    <w:rPr>
      <w:rFonts w:ascii="Arial" w:hAnsi="Arial" w:cs="Arial"/>
    </w:rPr>
  </w:style>
  <w:style w:type="character" w:customStyle="1" w:styleId="HeaderChar">
    <w:name w:val="Header Char"/>
    <w:basedOn w:val="DefaultParagraphFont"/>
    <w:link w:val="Header"/>
    <w:uiPriority w:val="99"/>
    <w:rsid w:val="001F0785"/>
  </w:style>
  <w:style w:type="paragraph" w:styleId="Footer">
    <w:name w:val="footer"/>
    <w:basedOn w:val="Normal"/>
    <w:link w:val="FooterChar"/>
    <w:uiPriority w:val="99"/>
    <w:unhideWhenUsed/>
    <w:rsid w:val="001F0785"/>
    <w:pPr>
      <w:tabs>
        <w:tab w:val="center" w:pos="4680"/>
        <w:tab w:val="right" w:pos="9360"/>
      </w:tabs>
      <w:spacing w:after="0"/>
    </w:pPr>
  </w:style>
  <w:style w:type="character" w:customStyle="1" w:styleId="FooterChar">
    <w:name w:val="Footer Char"/>
    <w:basedOn w:val="DefaultParagraphFont"/>
    <w:link w:val="Footer"/>
    <w:uiPriority w:val="99"/>
    <w:rsid w:val="001F0785"/>
  </w:style>
  <w:style w:type="paragraph" w:customStyle="1" w:styleId="MediaType2ndLevelAccentHeading">
    <w:name w:val="MediaType_2ndLevelAccentHeading"/>
    <w:basedOn w:val="Normal"/>
    <w:uiPriority w:val="99"/>
    <w:rsid w:val="00AE02EC"/>
    <w:pPr>
      <w:pBdr>
        <w:bottom w:val="single" w:sz="4" w:space="4" w:color="auto"/>
      </w:pBdr>
      <w:autoSpaceDE w:val="0"/>
      <w:autoSpaceDN w:val="0"/>
      <w:adjustRightInd w:val="0"/>
      <w:spacing w:after="0" w:line="288" w:lineRule="auto"/>
      <w:textAlignment w:val="center"/>
    </w:pPr>
    <w:rPr>
      <w:rFonts w:ascii="Trebuchet MS" w:hAnsi="Trebuchet MS" w:cs="Trebuchet MS"/>
      <w:b/>
      <w:bCs/>
      <w:color w:val="1E6C26"/>
      <w:spacing w:val="-1"/>
      <w:sz w:val="24"/>
      <w:szCs w:val="24"/>
    </w:rPr>
  </w:style>
  <w:style w:type="paragraph" w:customStyle="1" w:styleId="BasicParagraph">
    <w:name w:val="[Basic Paragraph]"/>
    <w:basedOn w:val="Normal"/>
    <w:uiPriority w:val="99"/>
    <w:rsid w:val="00AE02EC"/>
    <w:pPr>
      <w:autoSpaceDE w:val="0"/>
      <w:autoSpaceDN w:val="0"/>
      <w:adjustRightInd w:val="0"/>
      <w:spacing w:after="0" w:line="288" w:lineRule="auto"/>
      <w:textAlignment w:val="center"/>
    </w:pPr>
    <w:rPr>
      <w:rFonts w:ascii="Trebuchet MS" w:hAnsi="Trebuchet MS" w:cs="Trebuchet MS"/>
      <w:color w:val="000000"/>
      <w:spacing w:val="-1"/>
      <w:sz w:val="20"/>
      <w:szCs w:val="20"/>
    </w:rPr>
  </w:style>
  <w:style w:type="paragraph" w:customStyle="1" w:styleId="BulletList1">
    <w:name w:val="Bullet List 1"/>
    <w:basedOn w:val="BasicParagraph"/>
    <w:next w:val="BasicParagraph"/>
    <w:uiPriority w:val="99"/>
    <w:rsid w:val="00AE02EC"/>
    <w:pPr>
      <w:suppressAutoHyphens/>
      <w:spacing w:after="180"/>
      <w:ind w:left="360" w:hanging="360"/>
    </w:pPr>
  </w:style>
  <w:style w:type="paragraph" w:customStyle="1" w:styleId="MediaTypeStandardHeading">
    <w:name w:val="MediaType_StandardHeading"/>
    <w:basedOn w:val="Normal"/>
    <w:uiPriority w:val="99"/>
    <w:rsid w:val="00AE02EC"/>
    <w:pPr>
      <w:tabs>
        <w:tab w:val="left" w:pos="540"/>
      </w:tabs>
      <w:autoSpaceDE w:val="0"/>
      <w:autoSpaceDN w:val="0"/>
      <w:adjustRightInd w:val="0"/>
      <w:spacing w:after="90" w:line="240" w:lineRule="atLeast"/>
      <w:textAlignment w:val="center"/>
    </w:pPr>
    <w:rPr>
      <w:rFonts w:ascii="Trebuchet MS" w:hAnsi="Trebuchet MS" w:cs="Trebuchet MS"/>
      <w:b/>
      <w:bCs/>
      <w:color w:val="000000"/>
    </w:rPr>
  </w:style>
  <w:style w:type="character" w:customStyle="1" w:styleId="BulletHeading">
    <w:name w:val="Bullet Heading"/>
    <w:uiPriority w:val="99"/>
    <w:rsid w:val="00AE02EC"/>
    <w:rPr>
      <w:color w:val="C509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18580">
      <w:bodyDiv w:val="1"/>
      <w:marLeft w:val="0"/>
      <w:marRight w:val="0"/>
      <w:marTop w:val="0"/>
      <w:marBottom w:val="0"/>
      <w:divBdr>
        <w:top w:val="none" w:sz="0" w:space="0" w:color="auto"/>
        <w:left w:val="none" w:sz="0" w:space="0" w:color="auto"/>
        <w:bottom w:val="none" w:sz="0" w:space="0" w:color="auto"/>
        <w:right w:val="none" w:sz="0" w:space="0" w:color="auto"/>
      </w:divBdr>
    </w:div>
    <w:div w:id="1204634133">
      <w:bodyDiv w:val="1"/>
      <w:marLeft w:val="0"/>
      <w:marRight w:val="0"/>
      <w:marTop w:val="0"/>
      <w:marBottom w:val="0"/>
      <w:divBdr>
        <w:top w:val="none" w:sz="0" w:space="0" w:color="auto"/>
        <w:left w:val="none" w:sz="0" w:space="0" w:color="auto"/>
        <w:bottom w:val="none" w:sz="0" w:space="0" w:color="auto"/>
        <w:right w:val="none" w:sz="0" w:space="0" w:color="auto"/>
      </w:divBdr>
      <w:divsChild>
        <w:div w:id="981352977">
          <w:marLeft w:val="0"/>
          <w:marRight w:val="0"/>
          <w:marTop w:val="0"/>
          <w:marBottom w:val="0"/>
          <w:divBdr>
            <w:top w:val="none" w:sz="0" w:space="0" w:color="auto"/>
            <w:left w:val="none" w:sz="0" w:space="0" w:color="auto"/>
            <w:bottom w:val="none" w:sz="0" w:space="0" w:color="auto"/>
            <w:right w:val="none" w:sz="0" w:space="0" w:color="auto"/>
          </w:divBdr>
        </w:div>
        <w:div w:id="296955015">
          <w:marLeft w:val="0"/>
          <w:marRight w:val="0"/>
          <w:marTop w:val="0"/>
          <w:marBottom w:val="0"/>
          <w:divBdr>
            <w:top w:val="none" w:sz="0" w:space="0" w:color="auto"/>
            <w:left w:val="none" w:sz="0" w:space="0" w:color="auto"/>
            <w:bottom w:val="none" w:sz="0" w:space="0" w:color="auto"/>
            <w:right w:val="none" w:sz="0" w:space="0" w:color="auto"/>
          </w:divBdr>
        </w:div>
        <w:div w:id="1399281943">
          <w:marLeft w:val="0"/>
          <w:marRight w:val="0"/>
          <w:marTop w:val="0"/>
          <w:marBottom w:val="0"/>
          <w:divBdr>
            <w:top w:val="none" w:sz="0" w:space="0" w:color="auto"/>
            <w:left w:val="none" w:sz="0" w:space="0" w:color="auto"/>
            <w:bottom w:val="none" w:sz="0" w:space="0" w:color="auto"/>
            <w:right w:val="none" w:sz="0" w:space="0" w:color="auto"/>
          </w:divBdr>
        </w:div>
        <w:div w:id="148801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9CEF-96A5-4AFF-A43A-691CC333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5AA1FAD.dotm</Template>
  <TotalTime>3</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TRI</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Leslie Mundy</cp:lastModifiedBy>
  <cp:revision>2</cp:revision>
  <cp:lastPrinted>2015-08-19T16:49:00Z</cp:lastPrinted>
  <dcterms:created xsi:type="dcterms:W3CDTF">2020-07-30T23:26:00Z</dcterms:created>
  <dcterms:modified xsi:type="dcterms:W3CDTF">2020-07-30T23:26:00Z</dcterms:modified>
</cp:coreProperties>
</file>